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68" w:rsidRPr="003C253E" w:rsidRDefault="00F46DC8">
      <w:pPr>
        <w:spacing w:after="16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3C253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Przygotowanie i realizację kampanii</w:t>
      </w:r>
      <w:r w:rsidRPr="003C253E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3C253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promocyjnej Święta Miasta, odbywającego się w Toruniu w dniach od 20 do 24 czerwca 2025 roku, zawierającej działania reklamowe, w tym w lokalnej prasie, radiu, i telewizji oraz </w:t>
      </w:r>
      <w:proofErr w:type="spellStart"/>
      <w:r w:rsidRPr="003C253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eventowe</w:t>
      </w:r>
      <w:proofErr w:type="spellEnd"/>
      <w:r w:rsidRPr="003C253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w tym organizację dwóch wydarzeń</w:t>
      </w:r>
      <w:r w:rsidRPr="003C253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o charakterze promocyjnym.</w:t>
      </w:r>
    </w:p>
    <w:p w:rsidR="00D67E68" w:rsidRDefault="00D67E6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Działania reklamowe w ramach kampanii, realizowane nie później niż od 2 czerwca 2025 roku:</w:t>
      </w: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Prasa*: min. w 3 różnych gazetach regionalnych </w:t>
      </w:r>
    </w:p>
    <w:p w:rsidR="00D67E68" w:rsidRDefault="00F46DC8">
      <w:pPr>
        <w:pStyle w:val="Akapitzlist"/>
        <w:numPr>
          <w:ilvl w:val="0"/>
          <w:numId w:val="6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Reklama graficzna 6x4 – 14 razy (dowolny podział  na wydawnictwa) </w:t>
      </w:r>
    </w:p>
    <w:p w:rsidR="00D67E68" w:rsidRDefault="00F46DC8">
      <w:pPr>
        <w:pStyle w:val="Akapitzlist"/>
        <w:numPr>
          <w:ilvl w:val="0"/>
          <w:numId w:val="6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redakcyjny zapo</w:t>
      </w:r>
      <w:r>
        <w:rPr>
          <w:rFonts w:ascii="Times New Roman" w:hAnsi="Times New Roman"/>
          <w:sz w:val="24"/>
          <w:szCs w:val="24"/>
        </w:rPr>
        <w:t>wiadający wydarzenie 7 razy (dowolny podział na wydawnictwa)</w:t>
      </w:r>
    </w:p>
    <w:p w:rsidR="00D67E68" w:rsidRDefault="00F46DC8">
      <w:pPr>
        <w:pStyle w:val="Akapitzlist"/>
        <w:numPr>
          <w:ilvl w:val="0"/>
          <w:numId w:val="6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Wywiad z Prezydentem Miasta Torunia –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 xml:space="preserve">, wydanie magazynowe </w:t>
      </w:r>
    </w:p>
    <w:p w:rsidR="00D67E68" w:rsidRDefault="00F46DC8">
      <w:pPr>
        <w:pStyle w:val="Akapitzlist"/>
        <w:numPr>
          <w:ilvl w:val="0"/>
          <w:numId w:val="6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Fotorelacja</w:t>
      </w:r>
      <w:proofErr w:type="spellEnd"/>
      <w:r>
        <w:rPr>
          <w:rFonts w:ascii="Times New Roman" w:hAnsi="Times New Roman"/>
          <w:sz w:val="24"/>
          <w:szCs w:val="24"/>
        </w:rPr>
        <w:t xml:space="preserve"> z wydarzenia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 logotypów: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przy grafice </w:t>
      </w:r>
      <w:proofErr w:type="spellStart"/>
      <w:r>
        <w:rPr>
          <w:rFonts w:ascii="Times New Roman" w:hAnsi="Times New Roman"/>
          <w:sz w:val="24"/>
          <w:szCs w:val="24"/>
        </w:rPr>
        <w:t>print</w:t>
      </w:r>
      <w:proofErr w:type="spellEnd"/>
      <w:r>
        <w:rPr>
          <w:rFonts w:ascii="Times New Roman" w:hAnsi="Times New Roman"/>
          <w:sz w:val="24"/>
          <w:szCs w:val="24"/>
        </w:rPr>
        <w:t xml:space="preserve"> zapowiadający wydarzenie 1/2 st</w:t>
      </w:r>
      <w:r>
        <w:rPr>
          <w:rFonts w:ascii="Times New Roman" w:hAnsi="Times New Roman"/>
          <w:sz w:val="24"/>
          <w:szCs w:val="24"/>
        </w:rPr>
        <w:t>rony (belka sponsorska) – 14 razy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przy tekście redakcyjnym </w:t>
      </w:r>
      <w:proofErr w:type="spellStart"/>
      <w:r>
        <w:rPr>
          <w:rFonts w:ascii="Times New Roman" w:hAnsi="Times New Roman"/>
          <w:sz w:val="24"/>
          <w:szCs w:val="24"/>
        </w:rPr>
        <w:t>print</w:t>
      </w:r>
      <w:proofErr w:type="spellEnd"/>
      <w:r>
        <w:rPr>
          <w:rFonts w:ascii="Times New Roman" w:hAnsi="Times New Roman"/>
          <w:sz w:val="24"/>
          <w:szCs w:val="24"/>
        </w:rPr>
        <w:t xml:space="preserve"> zapowiadającym wydarzenie (belka sponsorska) – 7 razy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przy </w:t>
      </w:r>
      <w:proofErr w:type="spellStart"/>
      <w:r>
        <w:rPr>
          <w:rFonts w:ascii="Times New Roman" w:hAnsi="Times New Roman"/>
          <w:sz w:val="24"/>
          <w:szCs w:val="24"/>
        </w:rPr>
        <w:t>fotorelacji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print</w:t>
      </w:r>
      <w:proofErr w:type="spellEnd"/>
      <w:r>
        <w:rPr>
          <w:rFonts w:ascii="Times New Roman" w:hAnsi="Times New Roman"/>
          <w:sz w:val="24"/>
          <w:szCs w:val="24"/>
        </w:rPr>
        <w:t xml:space="preserve"> z wydarzenia (belka sponsorska)</w:t>
      </w:r>
    </w:p>
    <w:p w:rsidR="00D67E68" w:rsidRDefault="00D67E68">
      <w:p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Promocja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online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>: min. na 4 różnych portalach re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gionalnych</w:t>
      </w:r>
    </w:p>
    <w:p w:rsidR="00D67E68" w:rsidRDefault="00F46DC8">
      <w:pPr>
        <w:pStyle w:val="Akapitzlist"/>
        <w:numPr>
          <w:ilvl w:val="0"/>
          <w:numId w:val="8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Reklama display (1 000 000 wyświetleń – min. 2 różne formy reklamowe) z </w:t>
      </w:r>
      <w:proofErr w:type="spellStart"/>
      <w:r>
        <w:rPr>
          <w:rFonts w:ascii="Times New Roman" w:hAnsi="Times New Roman"/>
          <w:sz w:val="24"/>
          <w:szCs w:val="24"/>
        </w:rPr>
        <w:t>przekierowaniem</w:t>
      </w:r>
      <w:proofErr w:type="spellEnd"/>
      <w:r>
        <w:rPr>
          <w:rFonts w:ascii="Times New Roman" w:hAnsi="Times New Roman"/>
          <w:sz w:val="24"/>
          <w:szCs w:val="24"/>
        </w:rPr>
        <w:t xml:space="preserve"> do tekstu redakcyjnego zapowiadającego wydarzenie,</w:t>
      </w:r>
    </w:p>
    <w:p w:rsidR="00D67E68" w:rsidRDefault="00F46DC8">
      <w:pPr>
        <w:pStyle w:val="Akapitzlist"/>
        <w:numPr>
          <w:ilvl w:val="0"/>
          <w:numId w:val="8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Reklama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display – welcome screen (10 000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wyświetleń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D67E68" w:rsidRDefault="00F46DC8">
      <w:pPr>
        <w:pStyle w:val="Akapitzlist"/>
        <w:numPr>
          <w:ilvl w:val="0"/>
          <w:numId w:val="8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Reklama display – forma reklamowa </w:t>
      </w:r>
      <w:proofErr w:type="spellStart"/>
      <w:r>
        <w:rPr>
          <w:rFonts w:ascii="Times New Roman" w:hAnsi="Times New Roman"/>
          <w:sz w:val="24"/>
          <w:szCs w:val="24"/>
        </w:rPr>
        <w:t>megaboard</w:t>
      </w:r>
      <w:proofErr w:type="spellEnd"/>
      <w:r>
        <w:rPr>
          <w:rFonts w:ascii="Times New Roman" w:hAnsi="Times New Roman"/>
          <w:sz w:val="24"/>
          <w:szCs w:val="24"/>
        </w:rPr>
        <w:t xml:space="preserve"> emitowana</w:t>
      </w:r>
      <w:r>
        <w:rPr>
          <w:rFonts w:ascii="Times New Roman" w:hAnsi="Times New Roman"/>
          <w:sz w:val="24"/>
          <w:szCs w:val="24"/>
        </w:rPr>
        <w:t xml:space="preserve"> na stałe w dwóch serwisach  dzień przed i w dniu wydarzenia</w:t>
      </w:r>
    </w:p>
    <w:p w:rsidR="00D67E68" w:rsidRDefault="00F46DC8">
      <w:pPr>
        <w:pStyle w:val="Akapitzlist"/>
        <w:numPr>
          <w:ilvl w:val="0"/>
          <w:numId w:val="8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redakcyjny z wideo zapowiadającym wydarzenie umieszczony na stronach trzech serwisów od 7 do 2 dni – (belka sponsorska);</w:t>
      </w:r>
    </w:p>
    <w:p w:rsidR="00D67E68" w:rsidRDefault="00F46DC8">
      <w:pPr>
        <w:pStyle w:val="Akapitzlist"/>
        <w:numPr>
          <w:ilvl w:val="0"/>
          <w:numId w:val="8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redakcyjny z relacją (foto i wideo) z wydarzenia umieszczony p</w:t>
      </w:r>
      <w:r>
        <w:rPr>
          <w:rFonts w:ascii="Times New Roman" w:hAnsi="Times New Roman"/>
          <w:sz w:val="24"/>
          <w:szCs w:val="24"/>
        </w:rPr>
        <w:t>rzez 2 dni na stronach głównych serwisów.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 logotypów: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przy tekście redakcyjnym </w:t>
      </w:r>
      <w:proofErr w:type="spellStart"/>
      <w:r>
        <w:rPr>
          <w:rFonts w:ascii="Times New Roman" w:hAnsi="Times New Roman"/>
          <w:sz w:val="24"/>
          <w:szCs w:val="24"/>
        </w:rPr>
        <w:t>online</w:t>
      </w:r>
      <w:proofErr w:type="spellEnd"/>
      <w:r>
        <w:rPr>
          <w:rFonts w:ascii="Times New Roman" w:hAnsi="Times New Roman"/>
          <w:sz w:val="24"/>
          <w:szCs w:val="24"/>
        </w:rPr>
        <w:t xml:space="preserve"> zapowiadającym wydarzenie umieszczonym na stronach głównych w serwisach  od 7 do 2 dni – (belka sponsorska)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na planszy na </w:t>
      </w:r>
      <w:r>
        <w:rPr>
          <w:rFonts w:ascii="Times New Roman" w:hAnsi="Times New Roman"/>
          <w:sz w:val="24"/>
          <w:szCs w:val="24"/>
        </w:rPr>
        <w:t>końcu wideo z zapowiedzią wydarzenia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Logotyp Partnera w kampanii display w serwisach – 1 000 000 wyświetleń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Logotyp Partnera w kampanii display emitowanej na stałe w serwisie  dzień przed i w dniu wydarzenia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Logotyp Partnera w kampanii display – </w:t>
      </w:r>
      <w:proofErr w:type="spellStart"/>
      <w:r>
        <w:rPr>
          <w:rFonts w:ascii="Times New Roman" w:hAnsi="Times New Roman"/>
          <w:sz w:val="24"/>
          <w:szCs w:val="24"/>
        </w:rPr>
        <w:t>welcome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z w:val="24"/>
          <w:szCs w:val="24"/>
        </w:rPr>
        <w:t>reen</w:t>
      </w:r>
      <w:proofErr w:type="spellEnd"/>
      <w:r>
        <w:rPr>
          <w:rFonts w:ascii="Times New Roman" w:hAnsi="Times New Roman"/>
          <w:sz w:val="24"/>
          <w:szCs w:val="24"/>
        </w:rPr>
        <w:t xml:space="preserve"> – 10 000 wyświetleń – 7 dni przed wydarzeniem</w:t>
      </w:r>
    </w:p>
    <w:p w:rsidR="00D67E68" w:rsidRDefault="00F46DC8">
      <w:pPr>
        <w:pStyle w:val="Akapitzlist"/>
        <w:numPr>
          <w:ilvl w:val="0"/>
          <w:numId w:val="9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Logotyp Partnera przy tekście redakcyjnym </w:t>
      </w:r>
      <w:proofErr w:type="spellStart"/>
      <w:r>
        <w:rPr>
          <w:rFonts w:ascii="Times New Roman" w:hAnsi="Times New Roman"/>
          <w:sz w:val="24"/>
          <w:szCs w:val="24"/>
        </w:rPr>
        <w:t>online</w:t>
      </w:r>
      <w:proofErr w:type="spellEnd"/>
      <w:r>
        <w:rPr>
          <w:rFonts w:ascii="Times New Roman" w:hAnsi="Times New Roman"/>
          <w:sz w:val="24"/>
          <w:szCs w:val="24"/>
        </w:rPr>
        <w:t xml:space="preserve"> z foto i </w:t>
      </w:r>
      <w:proofErr w:type="spellStart"/>
      <w:r>
        <w:rPr>
          <w:rFonts w:ascii="Times New Roman" w:hAnsi="Times New Roman"/>
          <w:sz w:val="24"/>
          <w:szCs w:val="24"/>
        </w:rPr>
        <w:t>wideorelacją</w:t>
      </w:r>
      <w:proofErr w:type="spellEnd"/>
      <w:r>
        <w:rPr>
          <w:rFonts w:ascii="Times New Roman" w:hAnsi="Times New Roman"/>
          <w:sz w:val="24"/>
          <w:szCs w:val="24"/>
        </w:rPr>
        <w:t xml:space="preserve"> z wydarzenia umieszonym na stronach głównych w serwisach przez 2 dni (belka sponsorska) </w:t>
      </w:r>
    </w:p>
    <w:p w:rsidR="00D67E68" w:rsidRDefault="00D67E68">
      <w:pPr>
        <w:pStyle w:val="Akapitzlist"/>
        <w:spacing w:after="160"/>
        <w:jc w:val="both"/>
        <w:rPr>
          <w:rFonts w:ascii="Times New Roman" w:hAnsi="Times New Roman"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Promocja w mediach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społecznościowych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na 3 ró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żnych profilach gazet regionalnych</w:t>
      </w:r>
    </w:p>
    <w:p w:rsidR="00D67E68" w:rsidRDefault="00F46DC8">
      <w:pPr>
        <w:pStyle w:val="Akapitzlist"/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Posty z zapowiedzią i relacją z wydarzenia – 17 razy</w:t>
      </w:r>
    </w:p>
    <w:p w:rsidR="00D67E68" w:rsidRDefault="00F46DC8">
      <w:pPr>
        <w:pStyle w:val="Akapitzlist"/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Rolki/relacje z zaproszeniem na wydarzenie – 5 razy</w:t>
      </w:r>
    </w:p>
    <w:p w:rsidR="00D67E68" w:rsidRDefault="00F46DC8">
      <w:pPr>
        <w:pStyle w:val="Akapitzlist"/>
        <w:numPr>
          <w:ilvl w:val="0"/>
          <w:numId w:val="1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Kampania reklamowa na </w:t>
      </w:r>
      <w:proofErr w:type="spellStart"/>
      <w:r>
        <w:rPr>
          <w:rFonts w:ascii="Times New Roman" w:hAnsi="Times New Roman"/>
          <w:sz w:val="24"/>
          <w:szCs w:val="24"/>
        </w:rPr>
        <w:t>fanpage’ach</w:t>
      </w:r>
      <w:proofErr w:type="spellEnd"/>
      <w:r>
        <w:rPr>
          <w:rFonts w:ascii="Times New Roman" w:hAnsi="Times New Roman"/>
          <w:sz w:val="24"/>
          <w:szCs w:val="24"/>
        </w:rPr>
        <w:t xml:space="preserve"> o wartości min. 3000 zł,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logotypów</w:t>
      </w:r>
    </w:p>
    <w:p w:rsidR="00D67E68" w:rsidRDefault="00F46DC8">
      <w:pPr>
        <w:pStyle w:val="Akapitzlist"/>
        <w:numPr>
          <w:ilvl w:val="0"/>
          <w:numId w:val="5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Partnera w poście zapowia</w:t>
      </w:r>
      <w:r>
        <w:rPr>
          <w:rFonts w:ascii="Times New Roman" w:hAnsi="Times New Roman"/>
          <w:sz w:val="24"/>
          <w:szCs w:val="24"/>
        </w:rPr>
        <w:t xml:space="preserve">dającym wydarzenie na </w:t>
      </w:r>
      <w:proofErr w:type="spellStart"/>
      <w:r>
        <w:rPr>
          <w:rFonts w:ascii="Times New Roman" w:hAnsi="Times New Roman"/>
          <w:sz w:val="24"/>
          <w:szCs w:val="24"/>
        </w:rPr>
        <w:t>funpage’u</w:t>
      </w:r>
      <w:proofErr w:type="spellEnd"/>
      <w:r>
        <w:rPr>
          <w:rFonts w:ascii="Times New Roman" w:hAnsi="Times New Roman"/>
          <w:sz w:val="24"/>
          <w:szCs w:val="24"/>
        </w:rPr>
        <w:t xml:space="preserve"> FB serwisów 14 razy</w:t>
      </w:r>
    </w:p>
    <w:p w:rsidR="00D67E68" w:rsidRDefault="00F46DC8">
      <w:pPr>
        <w:pStyle w:val="Akapitzlist"/>
        <w:numPr>
          <w:ilvl w:val="0"/>
          <w:numId w:val="5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Oznaczenie Partnera w poście podsumowującym wydarzenie na </w:t>
      </w:r>
      <w:proofErr w:type="spellStart"/>
      <w:r>
        <w:rPr>
          <w:rFonts w:ascii="Times New Roman" w:hAnsi="Times New Roman"/>
          <w:sz w:val="24"/>
          <w:szCs w:val="24"/>
        </w:rPr>
        <w:t>fanpage’u</w:t>
      </w:r>
      <w:proofErr w:type="spellEnd"/>
      <w:r>
        <w:rPr>
          <w:rFonts w:ascii="Times New Roman" w:hAnsi="Times New Roman"/>
          <w:sz w:val="24"/>
          <w:szCs w:val="24"/>
        </w:rPr>
        <w:t xml:space="preserve"> FB serwisów – 1 post/serwis</w:t>
      </w:r>
    </w:p>
    <w:p w:rsidR="00D67E68" w:rsidRDefault="00F46DC8">
      <w:pPr>
        <w:pStyle w:val="Akapitzlist"/>
        <w:numPr>
          <w:ilvl w:val="0"/>
          <w:numId w:val="5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Oznaczenie Partnerów w kampanii promującej wydarzenie na </w:t>
      </w:r>
      <w:proofErr w:type="spellStart"/>
      <w:r>
        <w:rPr>
          <w:rFonts w:ascii="Times New Roman" w:hAnsi="Times New Roman"/>
          <w:sz w:val="24"/>
          <w:szCs w:val="24"/>
        </w:rPr>
        <w:t>fanpage’u</w:t>
      </w:r>
      <w:proofErr w:type="spellEnd"/>
      <w:r>
        <w:rPr>
          <w:rFonts w:ascii="Times New Roman" w:hAnsi="Times New Roman"/>
          <w:sz w:val="24"/>
          <w:szCs w:val="24"/>
        </w:rPr>
        <w:t xml:space="preserve"> FB serwisów – wartość kampanii 3000 zł</w:t>
      </w:r>
    </w:p>
    <w:p w:rsidR="00D67E68" w:rsidRDefault="00D67E68">
      <w:pPr>
        <w:pStyle w:val="Akapitzlist"/>
        <w:spacing w:after="160"/>
        <w:jc w:val="both"/>
        <w:rPr>
          <w:rFonts w:ascii="Times New Roman" w:hAnsi="Times New Roman"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rzygotowanie relacji wideo</w:t>
      </w:r>
    </w:p>
    <w:p w:rsidR="00D67E68" w:rsidRDefault="00F46DC8">
      <w:pPr>
        <w:pStyle w:val="Akapitzlist"/>
        <w:numPr>
          <w:ilvl w:val="0"/>
          <w:numId w:val="4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Wideorelacja</w:t>
      </w:r>
      <w:proofErr w:type="spellEnd"/>
      <w:r>
        <w:rPr>
          <w:rFonts w:ascii="Times New Roman" w:hAnsi="Times New Roman"/>
          <w:sz w:val="24"/>
          <w:szCs w:val="24"/>
        </w:rPr>
        <w:t xml:space="preserve"> podsumowująca wydarzenie, min. 90 sekund</w:t>
      </w:r>
    </w:p>
    <w:p w:rsidR="00D67E68" w:rsidRDefault="00D67E68">
      <w:pPr>
        <w:pStyle w:val="Akapitzlist"/>
        <w:numPr>
          <w:ilvl w:val="0"/>
          <w:numId w:val="4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:rsidR="00D67E68" w:rsidRDefault="00F46DC8">
      <w:pPr>
        <w:pStyle w:val="Akapitzlist"/>
        <w:numPr>
          <w:ilvl w:val="0"/>
          <w:numId w:val="4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Wypowiedź Partnera w </w:t>
      </w:r>
      <w:proofErr w:type="spellStart"/>
      <w:r>
        <w:rPr>
          <w:rFonts w:ascii="Times New Roman" w:hAnsi="Times New Roman"/>
          <w:sz w:val="24"/>
          <w:szCs w:val="24"/>
        </w:rPr>
        <w:t>wideorelacji</w:t>
      </w:r>
      <w:proofErr w:type="spellEnd"/>
      <w:r>
        <w:rPr>
          <w:rFonts w:ascii="Times New Roman" w:hAnsi="Times New Roman"/>
          <w:sz w:val="24"/>
          <w:szCs w:val="24"/>
        </w:rPr>
        <w:t xml:space="preserve"> z wydarzenia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 logotypów:</w:t>
      </w:r>
    </w:p>
    <w:p w:rsidR="00D67E68" w:rsidRDefault="00F46DC8">
      <w:pPr>
        <w:pStyle w:val="Akapitzlist"/>
        <w:numPr>
          <w:ilvl w:val="0"/>
          <w:numId w:val="2"/>
        </w:numPr>
        <w:spacing w:after="160"/>
        <w:ind w:left="1004" w:hanging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Logotyp Partnera na planszy zbiorczej na końcu filmu podsumowującego wydarzenie w serwisach regionalnych</w:t>
      </w: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Radio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Kampania radiowa w Radio GRA (70 30-sekundowych spotów) w tygodniu przed akcją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 logotypów: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Wymienienie nazwy Partnera w spocie radiowym promującym wydarzenie – 70 spotów</w:t>
      </w:r>
    </w:p>
    <w:p w:rsidR="00D67E68" w:rsidRDefault="00D67E6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Promocja bezpośrednia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Rozdawanie ulotek zapraszających na </w:t>
      </w:r>
      <w:proofErr w:type="spellStart"/>
      <w:r>
        <w:rPr>
          <w:rFonts w:ascii="Times New Roman" w:hAnsi="Times New Roman"/>
          <w:sz w:val="24"/>
          <w:szCs w:val="24"/>
        </w:rPr>
        <w:t>event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dniach 14 i 15 czerwca w godzinach 12:00 – 15:00 (lub do wyczerpania ulotek) na Rynku w Toruniu</w:t>
      </w:r>
    </w:p>
    <w:p w:rsidR="00D67E68" w:rsidRDefault="00F46DC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- 3000 szt. ulotek format A6.</w:t>
      </w:r>
    </w:p>
    <w:p w:rsidR="00D67E68" w:rsidRDefault="00F46DC8">
      <w:pPr>
        <w:spacing w:after="16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Widoczność  logotypów:</w:t>
      </w:r>
    </w:p>
    <w:p w:rsidR="00D67E68" w:rsidRDefault="00F46DC8">
      <w:pPr>
        <w:pStyle w:val="Akapitzlist"/>
        <w:numPr>
          <w:ilvl w:val="0"/>
          <w:numId w:val="10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Logotyp Partnera na ulotkach zapraszających na wydarzenie (pasek sponsorski) dystrybuowanych przez hostessy</w:t>
      </w:r>
      <w:r>
        <w:rPr>
          <w:rFonts w:ascii="Times New Roman" w:hAnsi="Times New Roman"/>
          <w:sz w:val="24"/>
          <w:szCs w:val="24"/>
        </w:rPr>
        <w:t xml:space="preserve"> na 2 dni przed wydarzeniem</w:t>
      </w:r>
    </w:p>
    <w:p w:rsidR="00D67E68" w:rsidRDefault="00D67E68">
      <w:pPr>
        <w:pStyle w:val="Akapitzli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Świadczenie na użytek własny:</w:t>
      </w:r>
    </w:p>
    <w:p w:rsidR="00D67E68" w:rsidRDefault="00F46DC8">
      <w:pPr>
        <w:pStyle w:val="Akapitzlist"/>
        <w:numPr>
          <w:ilvl w:val="0"/>
          <w:numId w:val="3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Wywiad z Prezydentem Miasta Torunia –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>, wydanie magazynowe</w:t>
      </w:r>
    </w:p>
    <w:p w:rsidR="00D67E68" w:rsidRDefault="00D67E68">
      <w:pPr>
        <w:spacing w:after="16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Działania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eventowe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 ramach kampanii:</w:t>
      </w:r>
    </w:p>
    <w:p w:rsidR="00D67E68" w:rsidRDefault="00D67E68">
      <w:pPr>
        <w:spacing w:after="16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dwudniowego wydarzenia w Toruniu na Bulwarze Filadelfijskim. </w:t>
      </w:r>
    </w:p>
    <w:p w:rsidR="00D67E68" w:rsidRDefault="00F46DC8">
      <w:pPr>
        <w:pStyle w:val="Akapitzlist"/>
        <w:numPr>
          <w:ilvl w:val="1"/>
          <w:numId w:val="7"/>
        </w:numPr>
        <w:spacing w:after="160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czerwca 2025</w:t>
      </w:r>
      <w:r>
        <w:rPr>
          <w:rFonts w:ascii="Times New Roman" w:hAnsi="Times New Roman"/>
          <w:sz w:val="24"/>
          <w:szCs w:val="24"/>
        </w:rPr>
        <w:t xml:space="preserve"> – „Biesiada flisacka na Bulwarze Filadelfijskim” w formie pikniku o tematyce flisackiej, m.in. z biesiadą rodzinną, atrakcjami gastronomicznymi i występami lokalnych artystów;</w:t>
      </w:r>
    </w:p>
    <w:p w:rsidR="00D67E68" w:rsidRDefault="00F46DC8">
      <w:pPr>
        <w:pStyle w:val="Akapitzlist"/>
        <w:numPr>
          <w:ilvl w:val="1"/>
          <w:numId w:val="7"/>
        </w:numPr>
        <w:spacing w:after="160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czerwca 2025 – „Koncert Toruńskiej Orkiestry Symfonicznej z udziałem solistó</w:t>
      </w:r>
      <w:r>
        <w:rPr>
          <w:rFonts w:ascii="Times New Roman" w:hAnsi="Times New Roman"/>
          <w:sz w:val="24"/>
          <w:szCs w:val="24"/>
        </w:rPr>
        <w:t>w oraz gościnnym udziałem gwiazdy, Igora Herbuta”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postawienie i zabezpieczenie sceny 12 x 10 m na ulicy Bulwar Filadelfijski w Toruniu, z kratownicą i wodoodpornym zadaszeniem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oświetlenie sceniczne zapewniające doświetlenie osób występujących na scenie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głośnienie według </w:t>
      </w:r>
      <w:proofErr w:type="spellStart"/>
      <w:r>
        <w:rPr>
          <w:rFonts w:ascii="Times New Roman" w:hAnsi="Times New Roman"/>
          <w:sz w:val="24"/>
          <w:szCs w:val="24"/>
        </w:rPr>
        <w:t>riderów</w:t>
      </w:r>
      <w:proofErr w:type="spellEnd"/>
      <w:r>
        <w:rPr>
          <w:rFonts w:ascii="Times New Roman" w:hAnsi="Times New Roman"/>
          <w:sz w:val="24"/>
          <w:szCs w:val="24"/>
        </w:rPr>
        <w:t xml:space="preserve"> podmiotów uczestniczących w wydarzeniu + system nagłośnienia zabezpieczającego dźwięk, słyszalny do minimum 60 metrów przed sceną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profesjonalnej obsługi technicznej do realizacji nagłośnienia i oświetlenia podczas całe</w:t>
      </w:r>
      <w:r>
        <w:rPr>
          <w:rFonts w:ascii="Times New Roman" w:hAnsi="Times New Roman"/>
          <w:sz w:val="24"/>
          <w:szCs w:val="24"/>
        </w:rPr>
        <w:t>go wydarzenia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telebim LED minimalnej wielkości 5 x 3 m usytuowany przy scenie głównej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realizacji video podczas całego wydarzenia i transmisji na ekranie LED usytuowanym przy scenie głównej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montaż i demontaż elementów </w:t>
      </w:r>
      <w:proofErr w:type="spellStart"/>
      <w:r>
        <w:rPr>
          <w:rFonts w:ascii="Times New Roman" w:hAnsi="Times New Roman"/>
          <w:sz w:val="24"/>
          <w:szCs w:val="24"/>
        </w:rPr>
        <w:t>scenotechniki</w:t>
      </w:r>
      <w:proofErr w:type="spellEnd"/>
      <w:r>
        <w:rPr>
          <w:rFonts w:ascii="Times New Roman" w:hAnsi="Times New Roman"/>
          <w:sz w:val="24"/>
          <w:szCs w:val="24"/>
        </w:rPr>
        <w:t xml:space="preserve"> we wskazanyc</w:t>
      </w:r>
      <w:r>
        <w:rPr>
          <w:rFonts w:ascii="Times New Roman" w:hAnsi="Times New Roman"/>
          <w:sz w:val="24"/>
          <w:szCs w:val="24"/>
        </w:rPr>
        <w:t>h przez zleceniodawcę terminach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zabezpieczenie imprezy masowej (min 1 </w:t>
      </w:r>
      <w:proofErr w:type="spellStart"/>
      <w:r>
        <w:rPr>
          <w:rFonts w:ascii="Times New Roman" w:hAnsi="Times New Roman"/>
          <w:sz w:val="24"/>
          <w:szCs w:val="24"/>
        </w:rPr>
        <w:t>tys</w:t>
      </w:r>
      <w:proofErr w:type="spellEnd"/>
      <w:r>
        <w:rPr>
          <w:rFonts w:ascii="Times New Roman" w:hAnsi="Times New Roman"/>
          <w:sz w:val="24"/>
          <w:szCs w:val="24"/>
        </w:rPr>
        <w:t xml:space="preserve"> uczestników dziennie) – zgodnie z obowiązującymi przepisami w zakresie liczby uczestników i obszaru wydarzenia - uzyskanie wszystkich pozwoleń i zabezpieczeń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wydarzen</w:t>
      </w:r>
      <w:r>
        <w:rPr>
          <w:rFonts w:ascii="Times New Roman" w:hAnsi="Times New Roman"/>
          <w:sz w:val="24"/>
          <w:szCs w:val="24"/>
        </w:rPr>
        <w:t xml:space="preserve">ia (min 1 </w:t>
      </w:r>
      <w:proofErr w:type="spellStart"/>
      <w:r>
        <w:rPr>
          <w:rFonts w:ascii="Times New Roman" w:hAnsi="Times New Roman"/>
          <w:sz w:val="24"/>
          <w:szCs w:val="24"/>
        </w:rPr>
        <w:t>tys</w:t>
      </w:r>
      <w:proofErr w:type="spellEnd"/>
      <w:r>
        <w:rPr>
          <w:rFonts w:ascii="Times New Roman" w:hAnsi="Times New Roman"/>
          <w:sz w:val="24"/>
          <w:szCs w:val="24"/>
        </w:rPr>
        <w:t xml:space="preserve"> uczestników dziennie) w zakresie opieki medycznej zgodnie z obowiązującymi przepisami dotyczącymi imprezy masowej 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wytyczonej strefy (Bulwar Filadelfijski) płotami - min 250 metrów bieżących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wytyczonej i ogólnod</w:t>
      </w:r>
      <w:r>
        <w:rPr>
          <w:rFonts w:ascii="Times New Roman" w:hAnsi="Times New Roman"/>
          <w:sz w:val="24"/>
          <w:szCs w:val="24"/>
        </w:rPr>
        <w:t>ostępnej strefy toalet i umywalek – min 10 stanowisk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dozór i ochrona terenu wydarzenia i mienia pozostawionego przez organizatora oraz firmy współpracujące z organizatorem - od 20 do 22 czerwca 2025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na scenie głównej min 3 pokazów kulinarny</w:t>
      </w:r>
      <w:r>
        <w:rPr>
          <w:rFonts w:ascii="Times New Roman" w:hAnsi="Times New Roman"/>
          <w:sz w:val="24"/>
          <w:szCs w:val="24"/>
        </w:rPr>
        <w:t xml:space="preserve">ch (min 20 min każdy pokaz) przeprowadzonych przez wykwalifikowanego szefa kuchni. Rekomendowane dania – powiązane z tradycjami flisackimi. 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udziału w wydarzeniu minimum 3 ogólnodostępnych stoisk gastronomicznych z popularnymi daniami z kuchni </w:t>
      </w:r>
      <w:r>
        <w:rPr>
          <w:rFonts w:ascii="Times New Roman" w:hAnsi="Times New Roman"/>
          <w:sz w:val="24"/>
          <w:szCs w:val="24"/>
        </w:rPr>
        <w:t>polskiej oraz min 8 stoisk Kół Gospodyń Wiejskich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wytyczonej strefy biesiadnej składającej się z 40 metrowego stołu wraz z siedziskami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zorganizowanie wytyczonych stref animacji dziecięcych i stref rozrywkowo animacyjnych. Minimum 1 </w:t>
      </w:r>
      <w:r>
        <w:rPr>
          <w:rFonts w:ascii="Times New Roman" w:hAnsi="Times New Roman"/>
          <w:sz w:val="24"/>
          <w:szCs w:val="24"/>
        </w:rPr>
        <w:t>propozycja powinna być związana z kulturą i tradycjami flisackimi.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tortu okolicznościowego – min 700 porcji wraz z obsługą i przeprowadzenie jego degustacji wśród uczestników wydarzenia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zapewnienie występów artystycznych </w:t>
      </w:r>
    </w:p>
    <w:p w:rsidR="00D67E68" w:rsidRDefault="00F46DC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 czerwca – lokalne</w:t>
      </w:r>
      <w:r>
        <w:rPr>
          <w:rFonts w:ascii="Times New Roman" w:hAnsi="Times New Roman"/>
          <w:sz w:val="24"/>
          <w:szCs w:val="24"/>
        </w:rPr>
        <w:t xml:space="preserve"> zespoły muzyczne / wokalne / taneczne</w:t>
      </w:r>
    </w:p>
    <w:p w:rsidR="00D67E68" w:rsidRDefault="00F46DC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 czerwca - DJ - muzyka mechaniczna na zakończenie pierwszego dnia wydarzenia</w:t>
      </w:r>
    </w:p>
    <w:p w:rsidR="00D67E68" w:rsidRDefault="00F46DC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- 22 czerwca - koncert Toruńskiej Orkiestry Symfonicznej z udziałem Igora Herbuta i min 3 innych wokalistów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zorganizowanie przed sceną w</w:t>
      </w:r>
      <w:r>
        <w:rPr>
          <w:rFonts w:ascii="Times New Roman" w:hAnsi="Times New Roman"/>
          <w:sz w:val="24"/>
          <w:szCs w:val="24"/>
        </w:rPr>
        <w:t>ytyczonej strefy miejsc siedzących (min 500 miejsc) podczas koncertu Toruńskiej Orkiestry Symfonicznej 22 czerwca</w:t>
      </w:r>
    </w:p>
    <w:p w:rsidR="00D67E68" w:rsidRDefault="00F46DC8">
      <w:pPr>
        <w:pStyle w:val="Akapitzlist"/>
        <w:numPr>
          <w:ilvl w:val="0"/>
          <w:numId w:val="7"/>
        </w:numPr>
        <w:spacing w:after="16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sprzątanie i utylizacja odpadów z terenu imprezy w dniach 21 i 22 czerwca </w:t>
      </w:r>
    </w:p>
    <w:p w:rsidR="00D67E68" w:rsidRDefault="00D67E6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E68" w:rsidRDefault="00D67E6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E68" w:rsidRDefault="00F46DC8">
      <w:p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*Kampania prasowa w min. trzech gazetach regionalnych, przy czym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 najmniej jedna z zaproponowanych gazet musi ukazywać się na terenie całego województwa kujawsko-pomorskiego. Jako gazeta regionalna rozumiana będzie również gazeta ogólnopolska posiadająca dodatek regionalny. Gazeta musi spełniać łącznie następujące war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unki: dystrybuowana odpłatnie, ukazująca się regularnie w postaci drukowanej, co najmniej 5 razy w tygodniu, w tym co najmniej od poniedziałku do piątku, nie będąca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tabloidem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(gazeta o charakterze sensacyjnym i plotkarskim), posiadająca średnie rozpowszech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nianie płatne za I kwartał 2025 r. nie mniejsze niż 1 500 egzemplarzy zgodnie z danymi Polskich Badań Czytelnictwa (bądź innych niezależnych badań, przy czym za niezależne badania rozumie się badania wykonane przez podmiot niezwiązany w żaden sposób z Wyko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nawcą składającym ofertę), przy czym w przypadku gazety z dodatkiem regionalnym powyższa sprzedaż dotyczy tylko dodatku regionalnego.</w:t>
      </w:r>
    </w:p>
    <w:p w:rsidR="00D67E68" w:rsidRDefault="00D67E68">
      <w:pPr>
        <w:spacing w:line="276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67E68" w:rsidRDefault="00D67E6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E68" w:rsidRDefault="00D67E6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D67E68" w:rsidSect="00D67E68">
      <w:headerReference w:type="default" r:id="rId7"/>
      <w:footerReference w:type="default" r:id="rId8"/>
      <w:pgSz w:w="11907" w:h="16840"/>
      <w:pgMar w:top="1418" w:right="782" w:bottom="1202" w:left="1202" w:header="0" w:footer="10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C8" w:rsidRDefault="00F46DC8" w:rsidP="00D67E68">
      <w:pPr>
        <w:spacing w:before="0" w:line="240" w:lineRule="auto"/>
      </w:pPr>
      <w:r>
        <w:separator/>
      </w:r>
    </w:p>
  </w:endnote>
  <w:endnote w:type="continuationSeparator" w:id="0">
    <w:p w:rsidR="00F46DC8" w:rsidRDefault="00F46DC8" w:rsidP="00D67E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68" w:rsidRDefault="00D67E68">
    <w:pPr>
      <w:pStyle w:val="Footer"/>
      <w:jc w:val="center"/>
    </w:pPr>
    <w:r>
      <w:fldChar w:fldCharType="begin"/>
    </w:r>
    <w:r w:rsidR="00F46DC8">
      <w:instrText xml:space="preserve"> PAGE </w:instrText>
    </w:r>
    <w:r>
      <w:fldChar w:fldCharType="separate"/>
    </w:r>
    <w:r w:rsidR="003C253E">
      <w:rPr>
        <w:noProof/>
      </w:rPr>
      <w:t>1</w:t>
    </w:r>
    <w:r>
      <w:fldChar w:fldCharType="end"/>
    </w:r>
  </w:p>
  <w:p w:rsidR="00D67E68" w:rsidRDefault="00D67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C8" w:rsidRDefault="00F46DC8" w:rsidP="00D67E68">
      <w:pPr>
        <w:spacing w:before="0" w:line="240" w:lineRule="auto"/>
      </w:pPr>
      <w:r>
        <w:separator/>
      </w:r>
    </w:p>
  </w:footnote>
  <w:footnote w:type="continuationSeparator" w:id="0">
    <w:p w:rsidR="00F46DC8" w:rsidRDefault="00F46DC8" w:rsidP="00D67E6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68" w:rsidRDefault="00D67E68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FDB"/>
    <w:multiLevelType w:val="hybridMultilevel"/>
    <w:tmpl w:val="E138C4BC"/>
    <w:lvl w:ilvl="0" w:tplc="E73C9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C1C18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04801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7C210D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00E5CB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C34AB7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0FC928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8BE8B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142BC4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2DF30D1"/>
    <w:multiLevelType w:val="hybridMultilevel"/>
    <w:tmpl w:val="E43EDFEA"/>
    <w:name w:val="Lista numerowana 1"/>
    <w:lvl w:ilvl="0" w:tplc="B6CC217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1A3CC47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9E432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C3A69C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071072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8BED8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B7A34C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B56682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6018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22F2BE1"/>
    <w:multiLevelType w:val="hybridMultilevel"/>
    <w:tmpl w:val="1FA0B762"/>
    <w:name w:val="Lista numerowana 4"/>
    <w:lvl w:ilvl="0" w:tplc="BD1C6D6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7F2A0C9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77E963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FB052E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7E00A5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9B8E6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9645DE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8084E2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58F0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451E612C"/>
    <w:multiLevelType w:val="hybridMultilevel"/>
    <w:tmpl w:val="3A82D960"/>
    <w:name w:val="Lista numerowana 10"/>
    <w:lvl w:ilvl="0" w:tplc="B0B820B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53EC16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A093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86E54F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61B4A83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170A1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412981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11C4CA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50864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47873A3B"/>
    <w:multiLevelType w:val="hybridMultilevel"/>
    <w:tmpl w:val="70D0548E"/>
    <w:name w:val="Lista numerowana 2"/>
    <w:lvl w:ilvl="0" w:tplc="35BA8456">
      <w:numFmt w:val="bullet"/>
      <w:lvlText w:val="·"/>
      <w:lvlJc w:val="left"/>
      <w:pPr>
        <w:ind w:left="644" w:firstLine="0"/>
      </w:pPr>
      <w:rPr>
        <w:rFonts w:ascii="Symbol" w:hAnsi="Symbol"/>
      </w:rPr>
    </w:lvl>
    <w:lvl w:ilvl="1" w:tplc="5896C3A4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 w:tplc="E90E5150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 w:tplc="D1D2E89C">
      <w:numFmt w:val="bullet"/>
      <w:lvlText w:val="·"/>
      <w:lvlJc w:val="left"/>
      <w:pPr>
        <w:ind w:left="2804" w:firstLine="0"/>
      </w:pPr>
      <w:rPr>
        <w:rFonts w:ascii="Symbol" w:hAnsi="Symbol"/>
      </w:rPr>
    </w:lvl>
    <w:lvl w:ilvl="4" w:tplc="279E2A3A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 w:tplc="7A6AB59E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 w:tplc="25023C02">
      <w:numFmt w:val="bullet"/>
      <w:lvlText w:val="·"/>
      <w:lvlJc w:val="left"/>
      <w:pPr>
        <w:ind w:left="4964" w:firstLine="0"/>
      </w:pPr>
      <w:rPr>
        <w:rFonts w:ascii="Symbol" w:hAnsi="Symbol"/>
      </w:rPr>
    </w:lvl>
    <w:lvl w:ilvl="7" w:tplc="AC32935C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 w:tplc="AAB0CF50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5">
    <w:nsid w:val="54492A15"/>
    <w:multiLevelType w:val="hybridMultilevel"/>
    <w:tmpl w:val="43183A72"/>
    <w:name w:val="Lista numerowana 6"/>
    <w:lvl w:ilvl="0" w:tplc="9D7C07A4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683AFC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C257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0E49DD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3790DE1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60F7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394303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77462E0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284D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590D1907"/>
    <w:multiLevelType w:val="hybridMultilevel"/>
    <w:tmpl w:val="97CCFF48"/>
    <w:name w:val="Lista numerowana 9"/>
    <w:lvl w:ilvl="0" w:tplc="3090839E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E50EFD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BA2D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F509D1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9A6498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FA762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A92E19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4888B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D091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5F842713"/>
    <w:multiLevelType w:val="hybridMultilevel"/>
    <w:tmpl w:val="677206F2"/>
    <w:name w:val="Lista numerowana 5"/>
    <w:lvl w:ilvl="0" w:tplc="BFE6935C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9AAE8AE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EC661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BCA8B1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FA041B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62C34C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FFEADBE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DE481C8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9262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62DB3DF5"/>
    <w:multiLevelType w:val="hybridMultilevel"/>
    <w:tmpl w:val="22381A42"/>
    <w:name w:val="Lista numerowana 3"/>
    <w:lvl w:ilvl="0" w:tplc="D278EBD8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799A86C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7E0C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AA859DC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CD3E62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C9C0D7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F984FC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8B08F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3621F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6C193F2B"/>
    <w:multiLevelType w:val="hybridMultilevel"/>
    <w:tmpl w:val="4578A16E"/>
    <w:name w:val="Lista numerowana 8"/>
    <w:lvl w:ilvl="0" w:tplc="90904A62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09D81DC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C1204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7063ED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6669BE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A4A62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3C245C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AAA287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D2C5F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78D967EC"/>
    <w:multiLevelType w:val="hybridMultilevel"/>
    <w:tmpl w:val="4E2A012A"/>
    <w:name w:val="Lista numerowana 7"/>
    <w:lvl w:ilvl="0" w:tplc="292A8D08">
      <w:start w:val="1"/>
      <w:numFmt w:val="decimal"/>
      <w:lvlText w:val="%1."/>
      <w:lvlJc w:val="left"/>
      <w:pPr>
        <w:ind w:left="360" w:firstLine="0"/>
      </w:pPr>
    </w:lvl>
    <w:lvl w:ilvl="1" w:tplc="E244002E">
      <w:start w:val="1"/>
      <w:numFmt w:val="lowerLetter"/>
      <w:lvlText w:val="%2."/>
      <w:lvlJc w:val="left"/>
      <w:pPr>
        <w:ind w:left="1080" w:firstLine="0"/>
      </w:pPr>
    </w:lvl>
    <w:lvl w:ilvl="2" w:tplc="676C0130">
      <w:start w:val="1"/>
      <w:numFmt w:val="lowerRoman"/>
      <w:lvlText w:val="%3."/>
      <w:lvlJc w:val="right"/>
      <w:pPr>
        <w:ind w:left="1980" w:firstLine="0"/>
      </w:pPr>
    </w:lvl>
    <w:lvl w:ilvl="3" w:tplc="09E0392C">
      <w:start w:val="1"/>
      <w:numFmt w:val="decimal"/>
      <w:lvlText w:val="%4."/>
      <w:lvlJc w:val="left"/>
      <w:pPr>
        <w:ind w:left="2520" w:firstLine="0"/>
      </w:pPr>
    </w:lvl>
    <w:lvl w:ilvl="4" w:tplc="C80CE8C4">
      <w:start w:val="1"/>
      <w:numFmt w:val="lowerLetter"/>
      <w:lvlText w:val="%5."/>
      <w:lvlJc w:val="left"/>
      <w:pPr>
        <w:ind w:left="3240" w:firstLine="0"/>
      </w:pPr>
    </w:lvl>
    <w:lvl w:ilvl="5" w:tplc="3BEC1E62">
      <w:start w:val="1"/>
      <w:numFmt w:val="lowerRoman"/>
      <w:lvlText w:val="%6."/>
      <w:lvlJc w:val="right"/>
      <w:pPr>
        <w:ind w:left="4140" w:firstLine="0"/>
      </w:pPr>
    </w:lvl>
    <w:lvl w:ilvl="6" w:tplc="F8EAE44E">
      <w:start w:val="1"/>
      <w:numFmt w:val="decimal"/>
      <w:lvlText w:val="%7."/>
      <w:lvlJc w:val="left"/>
      <w:pPr>
        <w:ind w:left="4680" w:firstLine="0"/>
      </w:pPr>
    </w:lvl>
    <w:lvl w:ilvl="7" w:tplc="FFFC00B8">
      <w:start w:val="1"/>
      <w:numFmt w:val="lowerLetter"/>
      <w:lvlText w:val="%8."/>
      <w:lvlJc w:val="left"/>
      <w:pPr>
        <w:ind w:left="5400" w:firstLine="0"/>
      </w:pPr>
    </w:lvl>
    <w:lvl w:ilvl="8" w:tplc="0672AFA4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E68"/>
    <w:rsid w:val="003C253E"/>
    <w:rsid w:val="00D67E68"/>
    <w:rsid w:val="00F4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E68"/>
  </w:style>
  <w:style w:type="paragraph" w:styleId="Nagwek1">
    <w:name w:val="heading 1"/>
    <w:basedOn w:val="Normalny"/>
    <w:qFormat/>
    <w:rsid w:val="00D67E68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rsid w:val="00D67E68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67E68"/>
    <w:pPr>
      <w:spacing w:before="0" w:after="200" w:line="276" w:lineRule="auto"/>
      <w:ind w:left="720"/>
      <w:contextualSpacing/>
    </w:pPr>
    <w:rPr>
      <w:lang w:eastAsia="pl-PL"/>
    </w:rPr>
  </w:style>
  <w:style w:type="paragraph" w:styleId="Tekstdymka">
    <w:name w:val="Balloon Text"/>
    <w:basedOn w:val="Normalny"/>
    <w:qFormat/>
    <w:rsid w:val="00D67E6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D67E6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">
    <w:name w:val="Header"/>
    <w:basedOn w:val="Normalny"/>
    <w:qFormat/>
    <w:rsid w:val="00D67E68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Footer">
    <w:name w:val="Footer"/>
    <w:basedOn w:val="Normalny"/>
    <w:qFormat/>
    <w:rsid w:val="00D67E68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qFormat/>
    <w:rsid w:val="00D67E68"/>
    <w:pPr>
      <w:widowControl w:val="0"/>
      <w:spacing w:before="0" w:line="240" w:lineRule="auto"/>
      <w:ind w:left="193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qFormat/>
    <w:rsid w:val="00D67E68"/>
    <w:pPr>
      <w:widowControl w:val="0"/>
      <w:spacing w:before="0" w:line="217" w:lineRule="exact"/>
      <w:ind w:left="119"/>
    </w:pPr>
    <w:rPr>
      <w:rFonts w:ascii="Verdana" w:eastAsia="Verdana" w:hAnsi="Verdana" w:cs="Verdana"/>
      <w:lang w:val="en-US"/>
    </w:rPr>
  </w:style>
  <w:style w:type="paragraph" w:customStyle="1" w:styleId="Tekstkomentarza1">
    <w:name w:val="Tekst komentarza1"/>
    <w:basedOn w:val="Normalny"/>
    <w:qFormat/>
    <w:rsid w:val="00D67E68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D67E68"/>
    <w:rPr>
      <w:b/>
      <w:bCs/>
    </w:rPr>
  </w:style>
  <w:style w:type="character" w:customStyle="1" w:styleId="TekstdymkaZnak">
    <w:name w:val="Tekst dymka Znak"/>
    <w:basedOn w:val="Domylnaczcionkaakapitu"/>
    <w:rsid w:val="00D67E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sid w:val="00D67E68"/>
    <w:rPr>
      <w:rFonts w:ascii="Times New Roman" w:eastAsia="Times New Roman" w:hAnsi="Times New Roman" w:cs="Times New Roman"/>
      <w:b/>
      <w:bCs/>
      <w:kern w:val="1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rsid w:val="00D67E68"/>
    <w:rPr>
      <w:rFonts w:ascii="Cambria" w:eastAsia="Cambria" w:hAnsi="Cambria" w:cs="Cambria"/>
      <w:color w:val="365F91"/>
      <w:sz w:val="26"/>
      <w:szCs w:val="26"/>
    </w:rPr>
  </w:style>
  <w:style w:type="character" w:customStyle="1" w:styleId="NagwekZnak">
    <w:name w:val="Nagłówek Znak"/>
    <w:basedOn w:val="Domylnaczcionkaakapitu"/>
    <w:rsid w:val="00D67E68"/>
  </w:style>
  <w:style w:type="character" w:customStyle="1" w:styleId="StopkaZnak">
    <w:name w:val="Stopka Znak"/>
    <w:basedOn w:val="Domylnaczcionkaakapitu"/>
    <w:rsid w:val="00D67E68"/>
  </w:style>
  <w:style w:type="character" w:customStyle="1" w:styleId="TekstpodstawowyZnak">
    <w:name w:val="Tekst podstawowy Znak"/>
    <w:basedOn w:val="Domylnaczcionkaakapitu"/>
    <w:rsid w:val="00D67E68"/>
    <w:rPr>
      <w:rFonts w:ascii="Times New Roman" w:eastAsia="Times New Roman" w:hAnsi="Times New Roman" w:cs="Times New Roman"/>
    </w:rPr>
  </w:style>
  <w:style w:type="character" w:customStyle="1" w:styleId="tooltipglossary">
    <w:name w:val="tooltip_glossary"/>
    <w:basedOn w:val="Domylnaczcionkaakapitu"/>
    <w:rsid w:val="00D67E68"/>
  </w:style>
  <w:style w:type="character" w:customStyle="1" w:styleId="Odwoaniedokomentarza1">
    <w:name w:val="Odwołanie do komentarza1"/>
    <w:basedOn w:val="Domylnaczcionkaakapitu"/>
    <w:rsid w:val="00D67E68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67E68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D67E68"/>
    <w:rPr>
      <w:b/>
      <w:bCs/>
    </w:rPr>
  </w:style>
  <w:style w:type="table" w:customStyle="1" w:styleId="Zwykatabela">
    <w:name w:val="Zwykła tabela"/>
    <w:uiPriority w:val="99"/>
    <w:semiHidden/>
    <w:unhideWhenUsed/>
    <w:rsid w:val="00D67E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67E68"/>
    <w:pPr>
      <w:spacing w:before="0" w:line="240" w:lineRule="auto"/>
      <w:ind w:left="0"/>
    </w:pPr>
    <w:rPr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1akcent3">
    <w:name w:val="Medium Shading 1 Accent 3"/>
    <w:basedOn w:val="Standardowy"/>
    <w:uiPriority w:val="63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  <w:shd w:val="solid" w:color="9BBB59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redniecieniowanie1akcent5">
    <w:name w:val="Medium Shading 1 Accent 5"/>
    <w:basedOn w:val="Standardowy"/>
    <w:uiPriority w:val="63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  <w:shd w:val="solid" w:color="4BACC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Jasnalistaakcent6">
    <w:name w:val="Light List Accent 6"/>
    <w:basedOn w:val="Standardowy"/>
    <w:uiPriority w:val="61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F7964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redniecieniowanie1akcent2">
    <w:name w:val="Medium Shading 1 Accent 2"/>
    <w:basedOn w:val="Standardowy"/>
    <w:uiPriority w:val="63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solid" w:color="C0504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customStyle="1" w:styleId="Jasnalistaakcent11">
    <w:name w:val="Jasna lista — akcent 11"/>
    <w:basedOn w:val="Standardowy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4F81B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redniecieniowanie11">
    <w:name w:val="Średnie cieniowanie 11"/>
    <w:basedOn w:val="Standardowy"/>
    <w:rsid w:val="00D67E68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solid" w:color="000000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1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ind w:left="284"/>
        <w:spacing w:before="92" w:line="360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ind w:left="0"/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l-pl"/>
    </w:rPr>
  </w:style>
  <w:style w:type="paragraph" w:styleId="para2">
    <w:name w:val="heading 2"/>
    <w:qFormat/>
    <w:basedOn w:val="para0"/>
    <w:next w:val="para0"/>
    <w:pPr>
      <w:spacing w:before="40"/>
      <w:keepNext/>
      <w:outlineLvl w:val="1"/>
      <w:keepLines/>
    </w:pPr>
    <w:rPr>
      <w:rFonts w:ascii="Cambria" w:hAnsi="Cambria" w:eastAsia="Cambria" w:cs="Cambria"/>
      <w:color w:val="365f91"/>
      <w:sz w:val="26"/>
      <w:szCs w:val="26"/>
    </w:rPr>
  </w:style>
  <w:style w:type="paragraph" w:styleId="para3">
    <w:name w:val="List Paragraph"/>
    <w:qFormat/>
    <w:basedOn w:val="para0"/>
    <w:pPr>
      <w:ind w:left="720"/>
      <w:spacing w:before="0" w:after="200" w:line="276" w:lineRule="auto"/>
      <w:contextualSpacing/>
    </w:pPr>
    <w:rPr>
      <w:lang w:eastAsia="pl-pl"/>
    </w:rPr>
  </w:style>
  <w:style w:type="paragraph" w:styleId="para4">
    <w:name w:val="Balloon Text"/>
    <w:qFormat/>
    <w:basedOn w:val="para0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para5">
    <w:name w:val="Normal (Web)"/>
    <w:qFormat/>
    <w:basedOn w:val="para0"/>
    <w:pPr>
      <w:ind w:left="0"/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ara6">
    <w:name w:val="Header"/>
    <w:qFormat/>
    <w:basedOn w:val="para0"/>
    <w:pPr>
      <w:spacing w:before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before="0" w:line="240" w:lineRule="auto"/>
      <w:tabs defTabSz="708">
        <w:tab w:val="center" w:pos="4536" w:leader="none"/>
        <w:tab w:val="right" w:pos="9072" w:leader="none"/>
      </w:tabs>
    </w:pPr>
  </w:style>
  <w:style w:type="paragraph" w:styleId="para8">
    <w:name w:val="Body Text"/>
    <w:qFormat/>
    <w:basedOn w:val="para0"/>
    <w:pPr>
      <w:ind w:left="1935"/>
      <w:spacing w:before="0" w:line="240" w:lineRule="auto"/>
      <w:widowControl w:val="0"/>
    </w:pPr>
    <w:rPr>
      <w:rFonts w:ascii="Times New Roman" w:hAnsi="Times New Roman" w:eastAsia="Times New Roman" w:cs="Times New Roman"/>
    </w:rPr>
  </w:style>
  <w:style w:type="paragraph" w:styleId="para9" w:customStyle="1">
    <w:name w:val="Table Paragraph"/>
    <w:qFormat/>
    <w:basedOn w:val="para0"/>
    <w:pPr>
      <w:ind w:left="119"/>
      <w:spacing w:before="0" w:line="217" w:lineRule="exact"/>
      <w:widowControl w:val="0"/>
    </w:pPr>
    <w:rPr>
      <w:rFonts w:ascii="Verdana" w:hAnsi="Verdana" w:eastAsia="Verdana" w:cs="Verdana"/>
      <w:lang w:val="en-us"/>
    </w:rPr>
  </w:style>
  <w:style w:type="paragraph" w:styleId="para10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1" w:customStyle="1">
    <w:name w:val="annotation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1 Znak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l-pl"/>
    </w:rPr>
  </w:style>
  <w:style w:type="character" w:styleId="char3" w:customStyle="1">
    <w:name w:val="Nagłówek 2 Znak"/>
    <w:basedOn w:val="char0"/>
    <w:rPr>
      <w:rFonts w:ascii="Cambria" w:hAnsi="Cambria" w:eastAsia="Cambria" w:cs="Cambria"/>
      <w:color w:val="365f91"/>
      <w:sz w:val="26"/>
      <w:szCs w:val="26"/>
    </w:rPr>
  </w:style>
  <w:style w:type="character" w:styleId="char4" w:customStyle="1">
    <w:name w:val="Nagłówek Znak"/>
    <w:basedOn w:val="char0"/>
  </w:style>
  <w:style w:type="character" w:styleId="char5" w:customStyle="1">
    <w:name w:val="Stopka Znak"/>
    <w:basedOn w:val="char0"/>
  </w:style>
  <w:style w:type="character" w:styleId="char6" w:customStyle="1">
    <w:name w:val="Tekst podstawowy Znak"/>
    <w:basedOn w:val="char0"/>
    <w:rPr>
      <w:rFonts w:ascii="Times New Roman" w:hAnsi="Times New Roman" w:eastAsia="Times New Roman" w:cs="Times New Roman"/>
    </w:rPr>
  </w:style>
  <w:style w:type="character" w:styleId="char7" w:customStyle="1">
    <w:name w:val="tooltip_glossary"/>
    <w:basedOn w:val="char0"/>
  </w:style>
  <w:style w:type="character" w:styleId="char8" w:customStyle="1">
    <w:name w:val="annotation reference"/>
    <w:basedOn w:val="char0"/>
    <w:rPr>
      <w:sz w:val="16"/>
      <w:szCs w:val="16"/>
    </w:rPr>
  </w:style>
  <w:style w:type="character" w:styleId="char9" w:customStyle="1">
    <w:name w:val="Tekst komentarza Znak"/>
    <w:basedOn w:val="char0"/>
    <w:rPr>
      <w:sz w:val="20"/>
      <w:szCs w:val="20"/>
    </w:rPr>
  </w:style>
  <w:style w:type="character" w:styleId="char10" w:customStyle="1">
    <w:name w:val="Temat komentarza Znak"/>
    <w:basedOn w:val="char9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ind w:left="0"/>
      <w:spacing w:before="0" w:line="240" w:lineRule="auto"/>
    </w:pPr>
    <w:rPr>
      <w:rFonts w:eastAsia="Calibri"/>
      <w:lang w:eastAsia="pl-pl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MediumShading1Accent3">
    <w:name w:val="Medium Shading 1 Accent 3"/>
    <w:basedOn w:val="NormalTable"/>
    <w:uiPriority w:val="63"/>
    <w:pPr>
      <w:spacing w:before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5">
    <w:name w:val="Medium Shading 1 Accent 5"/>
    <w:basedOn w:val="NormalTable"/>
    <w:uiPriority w:val="63"/>
    <w:pPr>
      <w:spacing w:before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LightListAccent6">
    <w:name w:val="Light List Accent 6"/>
    <w:basedOn w:val="NormalTable"/>
    <w:uiPriority w:val="61"/>
    <w:pPr>
      <w:spacing w:before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MediumShading1Accent4">
    <w:name w:val="Medium Shading 1 Accent 4"/>
    <w:basedOn w:val="NormalTable"/>
    <w:uiPriority w:val="63"/>
    <w:pPr>
      <w:spacing w:before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2">
    <w:name w:val="Medium Shading 1 Accent 2"/>
    <w:basedOn w:val="NormalTable"/>
    <w:uiPriority w:val="63"/>
    <w:pPr>
      <w:spacing w:before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Jasnalistaakcent11">
    <w:name w:val="Jasna lista — akcent 11"/>
    <w:basedOn w:val="NormalTable"/>
    <w:pPr>
      <w:spacing w:before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redniecieniowanie11">
    <w:name w:val="Średnie cieniowanie 11"/>
    <w:basedOn w:val="NormalTable"/>
    <w:pPr>
      <w:spacing w:before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2</cp:revision>
  <cp:lastPrinted>2024-11-14T12:09:00Z</cp:lastPrinted>
  <dcterms:created xsi:type="dcterms:W3CDTF">2025-04-18T06:11:00Z</dcterms:created>
  <dcterms:modified xsi:type="dcterms:W3CDTF">2025-04-18T06:11:00Z</dcterms:modified>
</cp:coreProperties>
</file>