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4D" w:rsidRDefault="00DC74A8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BA2907">
        <w:rPr>
          <w:rFonts w:ascii="Times New Roman" w:hAnsi="Times New Roman" w:cs="Times New Roman"/>
          <w:b/>
          <w:sz w:val="22"/>
          <w:szCs w:val="22"/>
        </w:rPr>
        <w:t>7</w:t>
      </w:r>
      <w:r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:rsidR="0060724D" w:rsidRDefault="00DC74A8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</w:t>
      </w:r>
      <w:r w:rsidR="0088619A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/2023</w:t>
      </w: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ul. Marii Konopnickiej 13/4</w:t>
      </w: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:rsidR="0060724D" w:rsidRDefault="0060724D">
      <w:pPr>
        <w:spacing w:line="276" w:lineRule="auto"/>
        <w:jc w:val="both"/>
        <w:rPr>
          <w:rFonts w:ascii="Times New Roman" w:eastAsia="SimSun" w:hAnsi="Times New Roman" w:cs="Times New Roman"/>
          <w:kern w:val="1"/>
          <w:sz w:val="22"/>
          <w:szCs w:val="22"/>
          <w:lang w:bidi="hi-IN"/>
        </w:rPr>
      </w:pPr>
    </w:p>
    <w:p w:rsidR="0060724D" w:rsidRDefault="0060724D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0724D" w:rsidRDefault="0060724D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0724D" w:rsidRDefault="0060724D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0724D" w:rsidRDefault="0060724D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0724D" w:rsidRDefault="0060724D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Oświadczenie Wykonawcy*</w:t>
      </w:r>
    </w:p>
    <w:p w:rsidR="0060724D" w:rsidRDefault="0060724D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o aktualności informacji zawartych w oświadczeniu,</w:t>
      </w: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 xml:space="preserve">o którym mowa w art. 108 ust. 1 pkt 1 i 2 ustawy z dnia 11 września 2019 r., </w:t>
      </w: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art. 108 ust. 1 pkt 4 ustawy, art. 108 ust. 1 pkt 5 ustawy, art. 108 ust. 1 pkt 3 ustawy, art. 108 ust. 1 pkt 4 ustawy, art. 108 ust. 1 pkt 5 ustawy, oraz art. 108 ust. 1 pkt 6 ustawy</w:t>
      </w: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Prawo zamówień publicznych</w:t>
      </w: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(dalej jako ustawa Pzp)</w:t>
      </w: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b/>
          <w:kern w:val="1"/>
          <w:sz w:val="22"/>
          <w:szCs w:val="22"/>
        </w:rPr>
      </w:pP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w zakresie podmiotowych środków dowodowych</w:t>
      </w:r>
    </w:p>
    <w:p w:rsidR="0060724D" w:rsidRDefault="0060724D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724D" w:rsidRDefault="00DC74A8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W związku ze złożeniem oferty w postępowaniu o udzielenie zamówienia publicznego pn. </w:t>
      </w:r>
      <w:r>
        <w:rPr>
          <w:rFonts w:ascii="Times New Roman" w:hAnsi="Times New Roman" w:cs="Times New Roman"/>
          <w:b/>
          <w:bCs/>
          <w:sz w:val="22"/>
          <w:szCs w:val="22"/>
        </w:rPr>
        <w:t>„</w:t>
      </w:r>
      <w:r>
        <w:rPr>
          <w:rFonts w:ascii="Times New Roman" w:hAnsi="Times New Roman" w:cs="Times New Roman"/>
          <w:b/>
          <w:sz w:val="22"/>
          <w:szCs w:val="22"/>
        </w:rPr>
        <w:t>Dostawa i montaż wyposażenia dla Toruńskiej Agendy Kulturalnej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w ramach projektu Kulturalny hub Bydgoskiego Przedmieścia w Toruniu”</w:t>
      </w:r>
      <w:r>
        <w:rPr>
          <w:rFonts w:ascii="Times New Roman" w:hAnsi="Times New Roman" w:cs="Times New Roman"/>
          <w:bCs/>
          <w:sz w:val="22"/>
          <w:szCs w:val="22"/>
        </w:rPr>
        <w:t xml:space="preserve">, oznaczenie postępowania: </w:t>
      </w:r>
      <w:r>
        <w:rPr>
          <w:rFonts w:ascii="Times New Roman" w:hAnsi="Times New Roman" w:cs="Times New Roman"/>
          <w:b/>
          <w:bCs/>
          <w:sz w:val="22"/>
          <w:szCs w:val="22"/>
        </w:rPr>
        <w:t>ZP.3400-2/</w:t>
      </w:r>
      <w:r w:rsidR="0088619A"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/2023</w:t>
      </w:r>
      <w:r>
        <w:rPr>
          <w:rFonts w:ascii="Times New Roman" w:hAnsi="Times New Roman" w:cs="Times New Roman"/>
          <w:bCs/>
          <w:sz w:val="22"/>
          <w:szCs w:val="22"/>
        </w:rPr>
        <w:t>, prowadzonego przez Toruńską Agendę Kulturalną</w:t>
      </w:r>
    </w:p>
    <w:p w:rsidR="0060724D" w:rsidRDefault="0060724D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0724D" w:rsidRDefault="00DC74A8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 złożónym wraz z ofertą pozostają aktualne w zakresie podstaw, o których mowa w:</w:t>
      </w:r>
    </w:p>
    <w:p w:rsidR="0060724D" w:rsidRDefault="00DC74A8">
      <w:pPr>
        <w:widowControl w:val="0"/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a) art. 108 ust. 1 pkt 3 ustawy,</w:t>
      </w:r>
    </w:p>
    <w:p w:rsidR="0060724D" w:rsidRDefault="00DC74A8">
      <w:pPr>
        <w:widowControl w:val="0"/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b) art. 108 ust. 1 pkt 4 ustawy, dotyczących orzeczenia zakazu ubiegania się o zamówienie publiczne tytułem środka zapobiegawczego,</w:t>
      </w:r>
    </w:p>
    <w:p w:rsidR="0060724D" w:rsidRDefault="00DC74A8">
      <w:pPr>
        <w:widowControl w:val="0"/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c) art. 108 ust. 1 pkt 5 ustawy, dotyczących zawarcia z innymi wykonawcami porozumienia mającego na celu zakłócenie konkurencji,</w:t>
      </w:r>
    </w:p>
    <w:p w:rsidR="0060724D" w:rsidRDefault="00DC74A8">
      <w:pPr>
        <w:widowControl w:val="0"/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d) art. 108 ust. 1 pkt 6 ustawy,</w:t>
      </w:r>
    </w:p>
    <w:p w:rsidR="0060724D" w:rsidRDefault="00DC74A8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Ponadto oświadczam/y, że nie zachodzą wobec nas podstawy wykluczenia, o których mowa  w:</w:t>
      </w:r>
    </w:p>
    <w:p w:rsidR="0060724D" w:rsidRDefault="00BD683F">
      <w:pPr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hyperlink r:id="rId7" w:anchor="/document/18903829?unitId=art(108)ust(1)pkt(1)&amp;cm=DOCUMENT" w:history="1">
        <w:r w:rsidR="00DC74A8">
          <w:rPr>
            <w:rStyle w:val="Hipercze"/>
            <w:rFonts w:ascii="Times New Roman" w:hAnsi="Times New Roman" w:cs="Times New Roman"/>
            <w:color w:val="auto"/>
            <w:kern w:val="1"/>
            <w:sz w:val="22"/>
            <w:szCs w:val="22"/>
            <w:u w:val="none"/>
          </w:rPr>
          <w:t>art. 108 ust. 1 pkt 1</w:t>
        </w:r>
      </w:hyperlink>
      <w:r w:rsidR="00DC74A8">
        <w:rPr>
          <w:rFonts w:ascii="Times New Roman" w:hAnsi="Times New Roman" w:cs="Times New Roman"/>
          <w:kern w:val="1"/>
          <w:sz w:val="22"/>
          <w:szCs w:val="22"/>
        </w:rPr>
        <w:t xml:space="preserve"> i </w:t>
      </w:r>
      <w:hyperlink r:id="rId8" w:anchor="/document/18903829?unitId=art(108)ust(1)pkt(2)&amp;cm=DOCUMENT" w:history="1">
        <w:r w:rsidR="00DC74A8">
          <w:rPr>
            <w:rFonts w:ascii="Times New Roman" w:hAnsi="Times New Roman" w:cs="Times New Roman"/>
            <w:bCs/>
            <w:sz w:val="22"/>
            <w:szCs w:val="22"/>
          </w:rPr>
          <w:t>2</w:t>
        </w:r>
      </w:hyperlink>
      <w:r w:rsidR="00DC74A8">
        <w:rPr>
          <w:rFonts w:ascii="Times New Roman" w:hAnsi="Times New Roman" w:cs="Times New Roman"/>
          <w:kern w:val="1"/>
          <w:sz w:val="22"/>
          <w:szCs w:val="22"/>
        </w:rPr>
        <w:t xml:space="preserve"> ustawy z dnia 11 września 2019 r. - Prawo zamówień publicznych, zwanej dalej "ustawą",</w:t>
      </w:r>
    </w:p>
    <w:p w:rsidR="0060724D" w:rsidRDefault="00DC74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art. 108 ust. 1 pkt 4 ustawy, dotyczącej orzeczenia zakazu ubiegania się o zamówienie publiczne tytułem środka karnego,</w:t>
      </w:r>
    </w:p>
    <w:p w:rsidR="0060724D" w:rsidRDefault="00DC74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lastRenderedPageBreak/>
        <w:t>art. 108 ust. 1 pkt 5 ustawy - 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60724D" w:rsidSect="0060724D">
      <w:headerReference w:type="default" r:id="rId9"/>
      <w:footerReference w:type="default" r:id="rId10"/>
      <w:endnotePr>
        <w:numFmt w:val="decimal"/>
      </w:endnotePr>
      <w:pgSz w:w="11906" w:h="16838"/>
      <w:pgMar w:top="1417" w:right="1417" w:bottom="1417" w:left="1417" w:header="708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B1D" w:rsidRDefault="00495B1D" w:rsidP="0060724D">
      <w:r>
        <w:separator/>
      </w:r>
    </w:p>
  </w:endnote>
  <w:endnote w:type="continuationSeparator" w:id="1">
    <w:p w:rsidR="00495B1D" w:rsidRDefault="00495B1D" w:rsidP="00607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24D" w:rsidRDefault="00DC74A8">
    <w:pPr>
      <w:pStyle w:val="Footer0"/>
      <w:tabs>
        <w:tab w:val="clear" w:pos="9072"/>
      </w:tabs>
      <w:jc w:val="center"/>
      <w:rPr>
        <w:rFonts w:ascii="Calibri" w:eastAsia="Calibri" w:hAnsi="Calibri" w:cs="Calibri"/>
        <w:b/>
        <w:i/>
        <w:iCs/>
        <w:color w:val="000000"/>
        <w:kern w:val="1"/>
        <w:sz w:val="16"/>
        <w:szCs w:val="16"/>
      </w:rPr>
    </w:pPr>
    <w:r>
      <w:tab/>
    </w:r>
    <w:r>
      <w:rPr>
        <w:rFonts w:ascii="Calibri" w:eastAsia="Calibri" w:hAnsi="Calibri" w:cs="Calibri"/>
        <w:b/>
        <w:i/>
        <w:iCs/>
        <w:color w:val="000000"/>
        <w:kern w:val="1"/>
        <w:sz w:val="16"/>
        <w:szCs w:val="16"/>
      </w:rPr>
      <w:t>W niniejszym postępowaniu dokumenty należy opatrzyć kwalifikowanym podpisem elektronicznym, podpisem zaufanym lub podpisem osobistym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B1D" w:rsidRDefault="00495B1D" w:rsidP="0060724D">
      <w:r>
        <w:separator/>
      </w:r>
    </w:p>
  </w:footnote>
  <w:footnote w:type="continuationSeparator" w:id="1">
    <w:p w:rsidR="00495B1D" w:rsidRDefault="00495B1D" w:rsidP="00607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24D" w:rsidRDefault="00DC74A8">
    <w:pPr>
      <w:pStyle w:val="Header"/>
    </w:pPr>
    <w:r>
      <w:rPr>
        <w:noProof/>
        <w:lang w:eastAsia="pl-PL"/>
      </w:rPr>
      <w:drawing>
        <wp:inline distT="0" distB="0" distL="0" distR="0">
          <wp:extent cx="5760720" cy="6089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NativeData">
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eyRF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wIwAAvwM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60724D" w:rsidRDefault="006072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60724"/>
    <w:multiLevelType w:val="singleLevel"/>
    <w:tmpl w:val="582873CE"/>
    <w:name w:val="Bullet 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614026B6"/>
    <w:multiLevelType w:val="hybridMultilevel"/>
    <w:tmpl w:val="A2A8A356"/>
    <w:lvl w:ilvl="0" w:tplc="CBD2E93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026663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834743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1DC1AF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320C7D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A603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5D884D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4EC33C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1F2F17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60724D"/>
    <w:rsid w:val="00495B1D"/>
    <w:rsid w:val="0060724D"/>
    <w:rsid w:val="0088619A"/>
    <w:rsid w:val="00BA2907"/>
    <w:rsid w:val="00BD683F"/>
    <w:rsid w:val="00DC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24D"/>
    <w:rPr>
      <w:rFonts w:ascii="Tahoma" w:eastAsia="Times New Roman" w:hAnsi="Tahoma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60724D"/>
    <w:pPr>
      <w:widowControl w:val="0"/>
      <w:spacing w:line="100" w:lineRule="atLeast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Header">
    <w:name w:val="Header"/>
    <w:basedOn w:val="Normalny"/>
    <w:qFormat/>
    <w:rsid w:val="0060724D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qFormat/>
    <w:rsid w:val="0060724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60724D"/>
    <w:rPr>
      <w:sz w:val="16"/>
      <w:szCs w:val="16"/>
    </w:rPr>
  </w:style>
  <w:style w:type="paragraph" w:customStyle="1" w:styleId="CommentText">
    <w:name w:val="Comment Text"/>
    <w:basedOn w:val="Normalny"/>
    <w:qFormat/>
    <w:rsid w:val="0060724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sid w:val="0060724D"/>
    <w:rPr>
      <w:b/>
      <w:bCs/>
    </w:rPr>
  </w:style>
  <w:style w:type="paragraph" w:customStyle="1" w:styleId="Tekstkomentarza1">
    <w:name w:val="Tekst komentarza1"/>
    <w:basedOn w:val="Normalny"/>
    <w:qFormat/>
    <w:rsid w:val="0060724D"/>
    <w:rPr>
      <w:sz w:val="20"/>
      <w:szCs w:val="20"/>
    </w:rPr>
  </w:style>
  <w:style w:type="paragraph" w:customStyle="1" w:styleId="Footer0">
    <w:name w:val="Footer"/>
    <w:basedOn w:val="Normalny"/>
    <w:qFormat/>
    <w:rsid w:val="0060724D"/>
    <w:pPr>
      <w:tabs>
        <w:tab w:val="center" w:pos="4536"/>
        <w:tab w:val="right" w:pos="9072"/>
      </w:tabs>
    </w:pPr>
  </w:style>
  <w:style w:type="character" w:customStyle="1" w:styleId="Domylnaczcionkaakapitu1">
    <w:name w:val="Domyślna czcionka akapitu1"/>
    <w:rsid w:val="0060724D"/>
  </w:style>
  <w:style w:type="character" w:customStyle="1" w:styleId="NagwekZnak">
    <w:name w:val="Nagłówek Znak"/>
    <w:basedOn w:val="Domylnaczcionkaakapitu"/>
    <w:rsid w:val="0060724D"/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StopkaZnak">
    <w:name w:val="Stopka Znak"/>
    <w:basedOn w:val="Domylnaczcionkaakapitu"/>
    <w:rsid w:val="0060724D"/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rsid w:val="0060724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komentarzaZnak">
    <w:name w:val="Tekst komentarza Znak"/>
    <w:basedOn w:val="Domylnaczcionkaakapitu"/>
    <w:rsid w:val="0060724D"/>
    <w:rPr>
      <w:rFonts w:ascii="Tahoma" w:eastAsia="Times New Roman" w:hAnsi="Tahoma" w:cs="Tahoma"/>
      <w:sz w:val="20"/>
      <w:szCs w:val="20"/>
    </w:rPr>
  </w:style>
  <w:style w:type="character" w:customStyle="1" w:styleId="Odwoaniedokomentarza1">
    <w:name w:val="Odwołanie do komentarza1"/>
    <w:basedOn w:val="Domylnaczcionkaakapitu"/>
    <w:rsid w:val="0060724D"/>
    <w:rPr>
      <w:sz w:val="16"/>
      <w:szCs w:val="16"/>
    </w:rPr>
  </w:style>
  <w:style w:type="character" w:styleId="Hipercze">
    <w:name w:val="Hyperlink"/>
    <w:basedOn w:val="Domylnaczcionkaakapitu"/>
    <w:rsid w:val="0060724D"/>
    <w:rPr>
      <w:color w:val="0000FF"/>
      <w:u w:val="single"/>
    </w:rPr>
  </w:style>
  <w:style w:type="table" w:customStyle="1" w:styleId="Zwykatabela">
    <w:name w:val="Zwykła tabela"/>
    <w:uiPriority w:val="99"/>
    <w:semiHidden/>
    <w:unhideWhenUsed/>
    <w:rsid w:val="006072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6072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ahoma" w:hAnsi="Tahoma" w:eastAsia="Times New Roman" w:cs="Tahoma"/>
      <w:sz w:val="24"/>
      <w:szCs w:val="24"/>
    </w:rPr>
  </w:style>
  <w:style w:type="paragraph" w:styleId="para1" w:customStyle="1">
    <w:name w:val="Normalny1"/>
    <w:qFormat/>
    <w:pPr>
      <w:spacing w:line="100" w:lineRule="atLeast"/>
      <w:widowControl w:val="0"/>
    </w:pPr>
    <w:rPr>
      <w:rFonts w:ascii="Times New Roman" w:hAnsi="Times New Roman" w:eastAsia="Lucida Sans Unicode" w:cs="Tahoma"/>
      <w:kern w:val="1"/>
      <w:sz w:val="24"/>
      <w:szCs w:val="24"/>
      <w:lang w:val="pl-pl" w:eastAsia="zh-cn" w:bidi="ar-sa"/>
    </w:rPr>
  </w:style>
  <w:style w:type="paragraph" w:styleId="para2" w:customStyle="1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3" w:customStyle="1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4">
    <w:name w:val="Balloon Text"/>
    <w:qFormat/>
    <w:basedOn w:val="para0"/>
    <w:rPr>
      <w:sz w:val="16"/>
      <w:szCs w:val="16"/>
    </w:rPr>
  </w:style>
  <w:style w:type="paragraph" w:styleId="para5" w:customStyle="1">
    <w:name w:val="Comment Text"/>
    <w:qFormat/>
    <w:basedOn w:val="para0"/>
    <w:rPr>
      <w:sz w:val="20"/>
      <w:szCs w:val="20"/>
    </w:rPr>
  </w:style>
  <w:style w:type="paragraph" w:styleId="para6" w:customStyle="1">
    <w:name w:val="Comment Subject"/>
    <w:qFormat/>
    <w:basedOn w:val="para5"/>
    <w:next w:val="para5"/>
    <w:rPr>
      <w:b/>
      <w:bCs/>
    </w:rPr>
  </w:style>
  <w:style w:type="paragraph" w:styleId="para7" w:customStyle="1">
    <w:name w:val="annotation text"/>
    <w:qFormat/>
    <w:basedOn w:val="para0"/>
    <w:rPr>
      <w:sz w:val="20"/>
      <w:szCs w:val="20"/>
    </w:rPr>
  </w:style>
  <w:style w:type="paragraph" w:styleId="para8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Domyślna czcionka akapitu1"/>
  </w:style>
  <w:style w:type="character" w:styleId="char2" w:customStyle="1">
    <w:name w:val="Nagłówek Znak"/>
    <w:basedOn w:val="char0"/>
    <w:rPr>
      <w:rFonts w:ascii="Tahoma" w:hAnsi="Tahoma" w:eastAsia="Times New Roman" w:cs="Tahoma"/>
      <w:sz w:val="24"/>
      <w:szCs w:val="24"/>
      <w:lang w:eastAsia="zh-cn"/>
    </w:rPr>
  </w:style>
  <w:style w:type="character" w:styleId="char3" w:customStyle="1">
    <w:name w:val="Stopka Znak"/>
    <w:basedOn w:val="char0"/>
    <w:rPr>
      <w:rFonts w:ascii="Tahoma" w:hAnsi="Tahoma" w:eastAsia="Times New Roman" w:cs="Tahoma"/>
      <w:sz w:val="24"/>
      <w:szCs w:val="24"/>
      <w:lang w:eastAsia="zh-cn"/>
    </w:rPr>
  </w:style>
  <w:style w:type="character" w:styleId="char4" w:customStyle="1">
    <w:name w:val="Tekst dymka Znak"/>
    <w:basedOn w:val="char0"/>
    <w:rPr>
      <w:rFonts w:ascii="Tahoma" w:hAnsi="Tahoma" w:eastAsia="Times New Roman" w:cs="Tahoma"/>
      <w:sz w:val="16"/>
      <w:szCs w:val="16"/>
      <w:lang w:eastAsia="zh-cn"/>
    </w:rPr>
  </w:style>
  <w:style w:type="character" w:styleId="char5" w:customStyle="1">
    <w:name w:val="Tekst komentarza Znak"/>
    <w:basedOn w:val="char0"/>
    <w:rPr>
      <w:rFonts w:ascii="Tahoma" w:hAnsi="Tahoma" w:eastAsia="Times New Roman" w:cs="Tahoma"/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>
    <w:name w:val="Hyperlink"/>
    <w:basedOn w:val="char0"/>
    <w:rPr>
      <w:color w:val="0000ff"/>
      <w:u w:color="auto" w:val="single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ahoma"/>
        <a:ea typeface="Times New Roman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g1-user</cp:lastModifiedBy>
  <cp:revision>8</cp:revision>
  <dcterms:created xsi:type="dcterms:W3CDTF">2023-04-18T07:32:00Z</dcterms:created>
  <dcterms:modified xsi:type="dcterms:W3CDTF">2023-04-27T09:48:00Z</dcterms:modified>
</cp:coreProperties>
</file>